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603B" w:rsidRDefault="00F0603B" w:rsidP="00F0603B">
      <w:r w:rsidRPr="006B0992">
        <w:rPr>
          <w:b/>
        </w:rPr>
        <w:t>Unit Plan:</w:t>
      </w:r>
      <w:r>
        <w:t xml:space="preserve"> A New Nation</w:t>
      </w:r>
    </w:p>
    <w:p w:rsidR="00F0603B" w:rsidRPr="006B0992" w:rsidRDefault="00F0603B" w:rsidP="00F0603B">
      <w:pPr>
        <w:rPr>
          <w:b/>
        </w:rPr>
      </w:pPr>
      <w:r w:rsidRPr="006B0992">
        <w:rPr>
          <w:b/>
        </w:rPr>
        <w:t>Length of Unit:</w:t>
      </w:r>
      <w:r>
        <w:rPr>
          <w:b/>
        </w:rPr>
        <w:t xml:space="preserve"> </w:t>
      </w:r>
      <w:r>
        <w:t>6</w:t>
      </w:r>
      <w:r w:rsidRPr="00BA710D">
        <w:t xml:space="preserve"> weeks</w:t>
      </w:r>
    </w:p>
    <w:p w:rsidR="00F0603B" w:rsidRPr="00D9655F" w:rsidRDefault="00F0603B" w:rsidP="00F0603B">
      <w:r w:rsidRPr="006B0992">
        <w:rPr>
          <w:b/>
        </w:rPr>
        <w:t>Grade Level:</w:t>
      </w:r>
      <w:r>
        <w:t xml:space="preserve"> 11th</w:t>
      </w:r>
    </w:p>
    <w:p w:rsidR="00F0603B" w:rsidRPr="00D9655F" w:rsidRDefault="00F0603B" w:rsidP="00F0603B">
      <w:pPr>
        <w:rPr>
          <w:b/>
        </w:rPr>
      </w:pPr>
      <w:r w:rsidRPr="006B0992">
        <w:rPr>
          <w:b/>
        </w:rPr>
        <w:t>Teacher:</w:t>
      </w:r>
      <w:r>
        <w:rPr>
          <w:b/>
        </w:rPr>
        <w:t xml:space="preserve"> </w:t>
      </w:r>
      <w:r>
        <w:t xml:space="preserve">Mrs. </w:t>
      </w:r>
      <w:proofErr w:type="spellStart"/>
      <w:r>
        <w:t>Hemer</w:t>
      </w:r>
      <w:proofErr w:type="spellEnd"/>
    </w:p>
    <w:p w:rsidR="00017860" w:rsidRDefault="00F0603B" w:rsidP="00F0603B">
      <w:r w:rsidRPr="006B0992">
        <w:rPr>
          <w:b/>
        </w:rPr>
        <w:t>Summary:</w:t>
      </w:r>
      <w:r>
        <w:rPr>
          <w:b/>
        </w:rPr>
        <w:t xml:space="preserve"> </w:t>
      </w:r>
      <w:r w:rsidRPr="00306169">
        <w:rPr>
          <w:sz w:val="22"/>
        </w:rPr>
        <w:t xml:space="preserve">This unit examines the writers and documents associated with the founding of the new American nation, as well as some of the poetry and other prose of the time.     Building on the themes explored in Unit One, students trace the movement toward revolution and the colonists' desire to establish a new government, noting the differences in opinions between federalists and anti-federalists and how their arguments were made. Students compare the radical purpose and tone of the Declaration of Independence to the measured and logical tone of the Preamble to the Constitution and the Bill of Rights. They analyze the expressions of conflict and/or cooperation between colonists and the British government, between colonists and Native Americans, and between colonists and slaves. They begin to recognize the emerging theme in American literature of “American </w:t>
      </w:r>
      <w:proofErr w:type="spellStart"/>
      <w:r w:rsidRPr="00306169">
        <w:rPr>
          <w:sz w:val="22"/>
        </w:rPr>
        <w:t>exceptionalism</w:t>
      </w:r>
      <w:proofErr w:type="spellEnd"/>
      <w:r w:rsidRPr="00306169">
        <w:rPr>
          <w:sz w:val="22"/>
        </w:rPr>
        <w:t>.” Works of visual art from the period will be examined for their treatment of similar themes. Note: This unit in particular could be taught in collaboration with an American history teacher, given its emphasis on America's founding documents.</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F0603B">
            <w:pPr>
              <w:rPr>
                <w:b/>
              </w:rPr>
            </w:pPr>
            <w:r>
              <w:rPr>
                <w:b/>
              </w:rPr>
              <w:t>Iowa Core</w:t>
            </w:r>
          </w:p>
          <w:p w:rsidR="002748F5" w:rsidRDefault="002748F5">
            <w:pPr>
              <w:rPr>
                <w:b/>
              </w:rPr>
            </w:pPr>
          </w:p>
          <w:p w:rsidR="00F0603B" w:rsidRDefault="00F0603B" w:rsidP="00F0603B">
            <w:pPr>
              <w:framePr w:hSpace="180" w:wrap="around" w:vAnchor="text" w:hAnchor="text" w:y="1"/>
              <w:suppressOverlap/>
              <w:rPr>
                <w:sz w:val="20"/>
              </w:rPr>
            </w:pPr>
            <w:r w:rsidRPr="00306169">
              <w:rPr>
                <w:b/>
                <w:sz w:val="20"/>
              </w:rPr>
              <w:t>RL.11–12.4:</w:t>
            </w:r>
            <w:r w:rsidRPr="00306169">
              <w:rPr>
                <w:sz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F0603B" w:rsidRPr="00306169" w:rsidRDefault="00F0603B" w:rsidP="00F0603B">
            <w:pPr>
              <w:framePr w:hSpace="180" w:wrap="around" w:vAnchor="text" w:hAnchor="text" w:y="1"/>
              <w:suppressOverlap/>
              <w:rPr>
                <w:sz w:val="20"/>
              </w:rPr>
            </w:pPr>
            <w:r w:rsidRPr="00306169">
              <w:rPr>
                <w:b/>
                <w:sz w:val="20"/>
              </w:rPr>
              <w:t>RI.11–12.5:</w:t>
            </w:r>
            <w:r w:rsidRPr="00306169">
              <w:rPr>
                <w:sz w:val="20"/>
              </w:rPr>
              <w:t xml:space="preserve"> Analyze and evaluate the effectiveness of the structure an author uses in his or her exposition or argument, including whether the structure makes points clear, convincing, and engaging. </w:t>
            </w:r>
          </w:p>
          <w:p w:rsidR="00F0603B" w:rsidRPr="00306169" w:rsidRDefault="00F0603B" w:rsidP="00F0603B">
            <w:pPr>
              <w:framePr w:hSpace="180" w:wrap="around" w:vAnchor="text" w:hAnchor="text" w:y="1"/>
              <w:suppressOverlap/>
              <w:rPr>
                <w:sz w:val="20"/>
              </w:rPr>
            </w:pPr>
            <w:r w:rsidRPr="00306169">
              <w:rPr>
                <w:b/>
                <w:sz w:val="20"/>
              </w:rPr>
              <w:t>RI.11–12.8</w:t>
            </w:r>
            <w:r w:rsidRPr="00306169">
              <w:rPr>
                <w:sz w:val="20"/>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 </w:t>
            </w:r>
          </w:p>
          <w:p w:rsidR="00F0603B" w:rsidRPr="00306169" w:rsidRDefault="00F0603B" w:rsidP="00F0603B">
            <w:pPr>
              <w:framePr w:hSpace="180" w:wrap="around" w:vAnchor="text" w:hAnchor="text" w:y="1"/>
              <w:suppressOverlap/>
              <w:rPr>
                <w:sz w:val="20"/>
              </w:rPr>
            </w:pPr>
            <w:r w:rsidRPr="00306169">
              <w:rPr>
                <w:b/>
                <w:sz w:val="20"/>
              </w:rPr>
              <w:t>RI.11–12.9:</w:t>
            </w:r>
            <w:r w:rsidRPr="00306169">
              <w:rPr>
                <w:sz w:val="20"/>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p w:rsidR="00F0603B" w:rsidRPr="00306169" w:rsidRDefault="00F0603B" w:rsidP="00F0603B">
            <w:pPr>
              <w:framePr w:hSpace="180" w:wrap="around" w:vAnchor="text" w:hAnchor="text" w:y="1"/>
              <w:suppressOverlap/>
              <w:rPr>
                <w:sz w:val="20"/>
              </w:rPr>
            </w:pPr>
            <w:r w:rsidRPr="00306169">
              <w:rPr>
                <w:b/>
                <w:sz w:val="20"/>
              </w:rPr>
              <w:t>W.11–12.1:</w:t>
            </w:r>
            <w:r w:rsidRPr="00306169">
              <w:rPr>
                <w:sz w:val="20"/>
              </w:rPr>
              <w:t xml:space="preserve"> Write arguments to support claims in an analysis of substantive topics or texts, using valid reasoning and relevant and sufficient evidence. </w:t>
            </w:r>
          </w:p>
          <w:p w:rsidR="00F0603B" w:rsidRPr="00306169" w:rsidRDefault="00F0603B" w:rsidP="00F0603B">
            <w:pPr>
              <w:framePr w:hSpace="180" w:wrap="around" w:vAnchor="text" w:hAnchor="text" w:y="1"/>
              <w:suppressOverlap/>
              <w:rPr>
                <w:sz w:val="20"/>
              </w:rPr>
            </w:pPr>
            <w:r w:rsidRPr="00306169">
              <w:rPr>
                <w:b/>
                <w:sz w:val="20"/>
              </w:rPr>
              <w:t>SL.11–12.4:</w:t>
            </w:r>
            <w:r w:rsidRPr="00306169">
              <w:rPr>
                <w:sz w:val="20"/>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 </w:t>
            </w:r>
          </w:p>
          <w:p w:rsidR="00017860" w:rsidRDefault="00F0603B" w:rsidP="00F0603B">
            <w:r w:rsidRPr="00306169">
              <w:rPr>
                <w:b/>
                <w:sz w:val="20"/>
              </w:rPr>
              <w:t>L.11–12.1</w:t>
            </w:r>
            <w:r w:rsidRPr="00306169">
              <w:rPr>
                <w:sz w:val="20"/>
              </w:rPr>
              <w:t>: Demonstrate command of the conventions of Standard English grammar and usage when writing or speaking.</w:t>
            </w:r>
          </w:p>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F0603B" w:rsidRDefault="00F0603B"/>
          <w:p w:rsidR="00F0603B" w:rsidRDefault="00F0603B"/>
          <w:p w:rsidR="00F0603B" w:rsidRDefault="00F0603B"/>
          <w:p w:rsidR="00017860" w:rsidRDefault="00017860"/>
          <w:p w:rsidR="002748F5" w:rsidRDefault="002748F5"/>
          <w:p w:rsidR="00F0603B" w:rsidRDefault="00F0603B">
            <w:r>
              <w:t>Unit Concepts</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 xml:space="preserve">Identify defining themes in American literature, such as “American </w:t>
            </w:r>
            <w:proofErr w:type="spellStart"/>
            <w:r w:rsidRPr="00165A53">
              <w:rPr>
                <w:rFonts w:eastAsia="Times New Roman" w:cs="Times New Roman"/>
                <w:sz w:val="20"/>
                <w:szCs w:val="22"/>
              </w:rPr>
              <w:t>exceptionalism</w:t>
            </w:r>
            <w:proofErr w:type="spellEnd"/>
            <w:r w:rsidRPr="00165A53">
              <w:rPr>
                <w:rFonts w:eastAsia="Times New Roman" w:cs="Times New Roman"/>
                <w:sz w:val="20"/>
                <w:szCs w:val="22"/>
              </w:rPr>
              <w:t>.”</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Identify and explain the historic and literary significance of America’s founding documents.</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Analyze how tone is established in persuasive writing.</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Analyze the use of literary elements in persuasive writing.</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Compare and contrast points of view in arguments presented on related issues.</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Analyze the qualities of an effective argument (i.e., examine the truthfulness and validity of the argument, as well as its rhetorical devices).</w:t>
            </w:r>
          </w:p>
          <w:p w:rsidR="00F0603B" w:rsidRPr="00165A53" w:rsidRDefault="00F0603B" w:rsidP="00F0603B">
            <w:pPr>
              <w:pStyle w:val="ListParagraph"/>
              <w:numPr>
                <w:ilvl w:val="0"/>
                <w:numId w:val="2"/>
              </w:numPr>
              <w:rPr>
                <w:b/>
                <w:sz w:val="20"/>
                <w:szCs w:val="22"/>
              </w:rPr>
            </w:pPr>
            <w:r w:rsidRPr="00165A53">
              <w:rPr>
                <w:rFonts w:eastAsia="Times New Roman" w:cs="Times New Roman"/>
                <w:sz w:val="20"/>
                <w:szCs w:val="22"/>
              </w:rPr>
              <w:t>Apply knowledge of effective arguments when writing one of your own.</w:t>
            </w:r>
          </w:p>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F0603B" w:rsidP="00F0603B">
            <w:pPr>
              <w:pStyle w:val="ListParagraph"/>
              <w:numPr>
                <w:ilvl w:val="0"/>
                <w:numId w:val="1"/>
              </w:numPr>
            </w:pPr>
            <w:r>
              <w:t>Why was the founding of America unique?</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F0603B" w:rsidRDefault="00F0603B"/>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270"/>
        <w:gridCol w:w="13860"/>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rsidTr="00F0603B">
        <w:tc>
          <w:tcPr>
            <w:tcW w:w="270" w:type="dxa"/>
          </w:tcPr>
          <w:p w:rsidR="00017860" w:rsidRPr="00017860" w:rsidRDefault="00017860">
            <w:pPr>
              <w:rPr>
                <w:b/>
              </w:rPr>
            </w:pPr>
          </w:p>
        </w:tc>
        <w:tc>
          <w:tcPr>
            <w:tcW w:w="13860"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rsidTr="00F0603B">
        <w:tc>
          <w:tcPr>
            <w:tcW w:w="270" w:type="dxa"/>
          </w:tcPr>
          <w:p w:rsidR="00017860" w:rsidRDefault="00017860"/>
        </w:tc>
        <w:tc>
          <w:tcPr>
            <w:tcW w:w="13860" w:type="dxa"/>
          </w:tcPr>
          <w:p w:rsidR="00F0603B" w:rsidRDefault="00017860">
            <w:r>
              <w:t>Performance Task(s):</w:t>
            </w:r>
          </w:p>
          <w:p w:rsidR="00F0603B" w:rsidRDefault="00F0603B"/>
          <w:p w:rsidR="00F0603B" w:rsidRDefault="00F0603B"/>
          <w:p w:rsidR="00017860" w:rsidRDefault="00017860"/>
          <w:p w:rsidR="00017860" w:rsidRDefault="00017860"/>
        </w:tc>
      </w:tr>
      <w:tr w:rsidR="00017860" w:rsidTr="00F0603B">
        <w:tc>
          <w:tcPr>
            <w:tcW w:w="270" w:type="dxa"/>
          </w:tcPr>
          <w:p w:rsidR="00017860" w:rsidRDefault="00017860"/>
        </w:tc>
        <w:tc>
          <w:tcPr>
            <w:tcW w:w="13860" w:type="dxa"/>
          </w:tcPr>
          <w:p w:rsidR="00F0603B" w:rsidRDefault="00017860">
            <w:r>
              <w:t>Other Evidence:</w:t>
            </w:r>
          </w:p>
          <w:p w:rsidR="00F0603B" w:rsidRDefault="00F0603B"/>
          <w:p w:rsidR="00F0603B" w:rsidRDefault="00F0603B"/>
          <w:p w:rsidR="00F0603B" w:rsidRDefault="00F0603B"/>
          <w:p w:rsidR="00017860" w:rsidRDefault="00017860"/>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47046E"/>
    <w:multiLevelType w:val="hybridMultilevel"/>
    <w:tmpl w:val="440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024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6039B9"/>
    <w:rsid w:val="00664CF4"/>
    <w:rsid w:val="00666B7D"/>
    <w:rsid w:val="006B0992"/>
    <w:rsid w:val="006F2A11"/>
    <w:rsid w:val="007B3284"/>
    <w:rsid w:val="007C5DFB"/>
    <w:rsid w:val="00C7720F"/>
    <w:rsid w:val="00DD78A9"/>
    <w:rsid w:val="00F0603B"/>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3607</Characters>
  <Application>Microsoft Word 12.1.0</Application>
  <DocSecurity>0</DocSecurity>
  <Lines>30</Lines>
  <Paragraphs>7</Paragraphs>
  <ScaleCrop>false</ScaleCrop>
  <Company>Buena Vista University</Company>
  <LinksUpToDate>false</LinksUpToDate>
  <CharactersWithSpaces>4429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2014-05-30T15:07:00Z</dcterms:created>
  <dcterms:modified xsi:type="dcterms:W3CDTF">2014-05-30T15:07:00Z</dcterms:modified>
</cp:coreProperties>
</file>