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2AC1" w:rsidRPr="004D637B" w:rsidRDefault="003A2AC1" w:rsidP="003A2AC1">
      <w:r w:rsidRPr="004D637B">
        <w:rPr>
          <w:b/>
        </w:rPr>
        <w:t>Unit Plan:</w:t>
      </w:r>
      <w:r>
        <w:t xml:space="preserve"> Literature Reflects Life: Making Sense of Our World</w:t>
      </w:r>
    </w:p>
    <w:p w:rsidR="003A2AC1" w:rsidRPr="004D637B" w:rsidRDefault="003A2AC1" w:rsidP="003A2AC1">
      <w:r w:rsidRPr="004D637B">
        <w:rPr>
          <w:b/>
        </w:rPr>
        <w:t>Length of Unit:</w:t>
      </w:r>
      <w:r>
        <w:rPr>
          <w:b/>
        </w:rPr>
        <w:t xml:space="preserve"> </w:t>
      </w:r>
      <w:r>
        <w:t>6 weeks</w:t>
      </w:r>
    </w:p>
    <w:p w:rsidR="003A2AC1" w:rsidRPr="004D637B" w:rsidRDefault="003A2AC1" w:rsidP="003A2AC1">
      <w:r w:rsidRPr="004D637B">
        <w:rPr>
          <w:b/>
        </w:rPr>
        <w:t>Grade Level:</w:t>
      </w:r>
      <w:r>
        <w:rPr>
          <w:b/>
        </w:rPr>
        <w:t xml:space="preserve"> </w:t>
      </w:r>
      <w:r>
        <w:t>7th</w:t>
      </w:r>
    </w:p>
    <w:p w:rsidR="003A2AC1" w:rsidRPr="004D637B" w:rsidRDefault="003A2AC1" w:rsidP="003A2AC1">
      <w:r w:rsidRPr="004D637B">
        <w:rPr>
          <w:b/>
        </w:rPr>
        <w:t>Teacher:</w:t>
      </w:r>
      <w:r>
        <w:rPr>
          <w:b/>
        </w:rPr>
        <w:t xml:space="preserve"> </w:t>
      </w:r>
      <w:r>
        <w:t>Mrs. Stock</w:t>
      </w:r>
    </w:p>
    <w:p w:rsidR="00017860" w:rsidRDefault="003A2AC1" w:rsidP="003A2AC1">
      <w:r>
        <w:rPr>
          <w:b/>
        </w:rPr>
        <w:t xml:space="preserve">Summary: </w:t>
      </w:r>
      <w:r>
        <w:t xml:space="preserve">In this unit students conclude their </w:t>
      </w:r>
      <w:proofErr w:type="gramStart"/>
      <w:r>
        <w:t>year-long</w:t>
      </w:r>
      <w:proofErr w:type="gramEnd"/>
      <w:r>
        <w:t xml:space="preserve"> study of the human condition by examining how a variety of genres can address the human condition; fantasy, comedy, tragedy, the short story, and poetry.  Although students read from a various genres, writing and class discussions focus on how literature can help us make sense of our world.  In particular, students will examine “point of view,” analyzing how authors develop different points of view.  The overall goal of this unit is for students to apply all the reading, writing, speaking, and listening strategies and skills they have learned up to this point in the year.  The unit ends with an informative/explanatory essay in response to the essential question:  Is literature always a reflection of life?</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017860"/>
          <w:p w:rsidR="003A2AC1" w:rsidRPr="003A2AC1" w:rsidRDefault="003A2AC1">
            <w:pPr>
              <w:rPr>
                <w:b/>
              </w:rPr>
            </w:pPr>
            <w:r w:rsidRPr="003A2AC1">
              <w:rPr>
                <w:b/>
              </w:rPr>
              <w:t>Iowa Core</w:t>
            </w:r>
          </w:p>
          <w:p w:rsidR="003A2AC1" w:rsidRDefault="003A2AC1"/>
          <w:p w:rsidR="003A2AC1" w:rsidRDefault="003A2AC1" w:rsidP="003A2AC1">
            <w:pPr>
              <w:framePr w:hSpace="180" w:wrap="around" w:vAnchor="text" w:hAnchor="text" w:y="1"/>
              <w:suppressOverlap/>
            </w:pPr>
            <w:r w:rsidRPr="00FD4759">
              <w:rPr>
                <w:b/>
              </w:rPr>
              <w:t>RL.7.6:</w:t>
            </w:r>
            <w:r>
              <w:t xml:space="preserve">  Analyze how an author develops and contrasts the points of view of different characters or narrators in a text.</w:t>
            </w:r>
          </w:p>
          <w:p w:rsidR="003A2AC1" w:rsidRDefault="003A2AC1" w:rsidP="003A2AC1">
            <w:pPr>
              <w:framePr w:hSpace="180" w:wrap="around" w:vAnchor="text" w:hAnchor="text" w:y="1"/>
              <w:suppressOverlap/>
            </w:pPr>
            <w:r w:rsidRPr="00FD4759">
              <w:rPr>
                <w:b/>
              </w:rPr>
              <w:t>W.7.1:</w:t>
            </w:r>
            <w:r>
              <w:t xml:space="preserve">  Write arguments to support claims with clear reasons and relevant evidence.  </w:t>
            </w:r>
          </w:p>
          <w:p w:rsidR="003A2AC1" w:rsidRDefault="003A2AC1" w:rsidP="003A2AC1">
            <w:pPr>
              <w:framePr w:hSpace="180" w:wrap="around" w:vAnchor="text" w:hAnchor="text" w:y="1"/>
              <w:suppressOverlap/>
            </w:pPr>
            <w:r w:rsidRPr="00FD4759">
              <w:rPr>
                <w:b/>
              </w:rPr>
              <w:t>SL.7.3:</w:t>
            </w:r>
            <w:r>
              <w:t xml:space="preserve">  Delineate a speaker’s argument and specific claims evaluating the soundness of the reasoning and the relevance and sufficiency of the evidence.  </w:t>
            </w:r>
          </w:p>
          <w:p w:rsidR="00017860" w:rsidRDefault="003A2AC1" w:rsidP="003A2AC1">
            <w:r w:rsidRPr="00FD4759">
              <w:rPr>
                <w:b/>
              </w:rPr>
              <w:t>L.7.3:</w:t>
            </w:r>
            <w:r>
              <w:t xml:space="preserve">  Use knowledge of language and its conventions when writing, speaking, reading, or listening.</w:t>
            </w:r>
          </w:p>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017860" w:rsidRDefault="00017860">
            <w:r>
              <w:t>Students will be able to independently use their learning to…</w:t>
            </w:r>
          </w:p>
          <w:p w:rsidR="002748F5" w:rsidRDefault="002748F5" w:rsidP="003A2AC1">
            <w:pPr>
              <w:pStyle w:val="ListParagraph"/>
              <w:numPr>
                <w:ilvl w:val="0"/>
                <w:numId w:val="1"/>
              </w:numPr>
            </w:pPr>
          </w:p>
          <w:p w:rsidR="002748F5" w:rsidRDefault="002748F5"/>
          <w:p w:rsidR="003A2AC1" w:rsidRDefault="003A2AC1">
            <w:r>
              <w:t>Unit Objectives</w:t>
            </w:r>
          </w:p>
          <w:p w:rsidR="003A2AC1" w:rsidRPr="00AD0B50" w:rsidRDefault="003A2AC1" w:rsidP="003A2AC1">
            <w:pPr>
              <w:pStyle w:val="ListParagraph"/>
              <w:numPr>
                <w:ilvl w:val="0"/>
                <w:numId w:val="2"/>
              </w:numPr>
              <w:rPr>
                <w:b/>
                <w:sz w:val="22"/>
                <w:szCs w:val="22"/>
              </w:rPr>
            </w:pPr>
            <w:r w:rsidRPr="00AD0B50">
              <w:rPr>
                <w:rFonts w:eastAsia="Times New Roman" w:cs="Times New Roman"/>
                <w:sz w:val="22"/>
                <w:szCs w:val="22"/>
              </w:rPr>
              <w:t>Describe how point of view is developed in a variety of genres—drama, short stories, and poetry.</w:t>
            </w:r>
          </w:p>
          <w:p w:rsidR="003A2AC1" w:rsidRPr="00AD0B50" w:rsidRDefault="003A2AC1" w:rsidP="003A2AC1">
            <w:pPr>
              <w:pStyle w:val="ListParagraph"/>
              <w:numPr>
                <w:ilvl w:val="0"/>
                <w:numId w:val="2"/>
              </w:numPr>
              <w:rPr>
                <w:b/>
                <w:sz w:val="22"/>
                <w:szCs w:val="22"/>
              </w:rPr>
            </w:pPr>
            <w:r w:rsidRPr="00AD0B50">
              <w:rPr>
                <w:rFonts w:eastAsia="Times New Roman" w:cs="Times New Roman"/>
                <w:sz w:val="22"/>
                <w:szCs w:val="22"/>
              </w:rPr>
              <w:t>Explain the basic characteristics of comedy and tragedy.</w:t>
            </w:r>
          </w:p>
          <w:p w:rsidR="003A2AC1" w:rsidRPr="00AD0B50" w:rsidRDefault="003A2AC1" w:rsidP="003A2AC1">
            <w:pPr>
              <w:pStyle w:val="ListParagraph"/>
              <w:numPr>
                <w:ilvl w:val="0"/>
                <w:numId w:val="2"/>
              </w:numPr>
              <w:rPr>
                <w:b/>
                <w:sz w:val="22"/>
                <w:szCs w:val="22"/>
              </w:rPr>
            </w:pPr>
            <w:r w:rsidRPr="00AD0B50">
              <w:rPr>
                <w:rFonts w:eastAsia="Times New Roman" w:cs="Times New Roman"/>
                <w:sz w:val="22"/>
                <w:szCs w:val="22"/>
              </w:rPr>
              <w:t>Compare novels with their theatrical and film versions.</w:t>
            </w:r>
          </w:p>
          <w:p w:rsidR="003A2AC1" w:rsidRPr="00AD0B50" w:rsidRDefault="003A2AC1" w:rsidP="003A2AC1">
            <w:pPr>
              <w:pStyle w:val="ListParagraph"/>
              <w:numPr>
                <w:ilvl w:val="0"/>
                <w:numId w:val="2"/>
              </w:numPr>
              <w:rPr>
                <w:b/>
                <w:sz w:val="22"/>
                <w:szCs w:val="22"/>
              </w:rPr>
            </w:pPr>
            <w:r w:rsidRPr="00AD0B50">
              <w:rPr>
                <w:rFonts w:eastAsia="Times New Roman" w:cs="Times New Roman"/>
                <w:sz w:val="22"/>
                <w:szCs w:val="22"/>
              </w:rPr>
              <w:t>Identify a common theme in different novels and advance an argument about that theme.</w:t>
            </w:r>
          </w:p>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3A2AC1" w:rsidP="003A2AC1">
            <w:pPr>
              <w:pStyle w:val="ListParagraph"/>
              <w:numPr>
                <w:ilvl w:val="0"/>
                <w:numId w:val="1"/>
              </w:numPr>
            </w:pPr>
            <w:r>
              <w:t>Is literature always a reflection of life?</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4A347D"/>
    <w:multiLevelType w:val="hybridMultilevel"/>
    <w:tmpl w:val="B62C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47579"/>
    <w:multiLevelType w:val="hybridMultilevel"/>
    <w:tmpl w:val="7AEC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24875"/>
    <w:rsid w:val="001333E1"/>
    <w:rsid w:val="00142476"/>
    <w:rsid w:val="00177056"/>
    <w:rsid w:val="00182AC7"/>
    <w:rsid w:val="002748F5"/>
    <w:rsid w:val="003005F0"/>
    <w:rsid w:val="003A2AC1"/>
    <w:rsid w:val="006039B9"/>
    <w:rsid w:val="00664CF4"/>
    <w:rsid w:val="00666B7D"/>
    <w:rsid w:val="006F2A11"/>
    <w:rsid w:val="007C5DFB"/>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Word 12.1.0</Application>
  <DocSecurity>0</DocSecurity>
  <Lines>16</Lines>
  <Paragraphs>3</Paragraphs>
  <ScaleCrop>false</ScaleCrop>
  <Company>Buena Vista University</Company>
  <LinksUpToDate>false</LinksUpToDate>
  <CharactersWithSpaces>2419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2014-05-29T15:36:00Z</dcterms:created>
  <dcterms:modified xsi:type="dcterms:W3CDTF">2014-05-29T15:36:00Z</dcterms:modified>
</cp:coreProperties>
</file>