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Default="00017860">
      <w:r w:rsidRPr="006B0992">
        <w:rPr>
          <w:b/>
        </w:rPr>
        <w:t>Unit Plan</w:t>
      </w:r>
      <w:r w:rsidR="002748F5" w:rsidRPr="006B0992">
        <w:rPr>
          <w:b/>
        </w:rPr>
        <w:t>:</w:t>
      </w:r>
      <w:r w:rsidR="006B0992">
        <w:t xml:space="preserve"> </w:t>
      </w:r>
      <w:r w:rsidR="00976DE3">
        <w:t>Drama-Fate</w:t>
      </w:r>
    </w:p>
    <w:p w:rsidR="006039B9" w:rsidRPr="00976DE3" w:rsidRDefault="006039B9">
      <w:r w:rsidRPr="006B0992">
        <w:rPr>
          <w:b/>
        </w:rPr>
        <w:t>Length of Unit:</w:t>
      </w:r>
      <w:r w:rsidR="00976DE3">
        <w:rPr>
          <w:b/>
        </w:rPr>
        <w:t xml:space="preserve"> </w:t>
      </w:r>
      <w:r w:rsidR="00976DE3">
        <w:t>6 weeks</w:t>
      </w:r>
    </w:p>
    <w:p w:rsidR="002748F5" w:rsidRPr="00976DE3" w:rsidRDefault="002748F5">
      <w:r w:rsidRPr="006B0992">
        <w:rPr>
          <w:b/>
        </w:rPr>
        <w:t>Grade Level:</w:t>
      </w:r>
      <w:r w:rsidR="00976DE3">
        <w:rPr>
          <w:b/>
        </w:rPr>
        <w:t xml:space="preserve"> </w:t>
      </w:r>
      <w:r w:rsidR="00976DE3">
        <w:t>9th</w:t>
      </w:r>
    </w:p>
    <w:p w:rsidR="006B0992" w:rsidRPr="006B0992" w:rsidRDefault="002748F5">
      <w:pPr>
        <w:rPr>
          <w:b/>
        </w:rPr>
      </w:pPr>
      <w:r w:rsidRPr="006B0992">
        <w:rPr>
          <w:b/>
        </w:rPr>
        <w:t>Teacher:</w:t>
      </w:r>
      <w:r w:rsidR="00976DE3">
        <w:rPr>
          <w:b/>
        </w:rPr>
        <w:t xml:space="preserve"> </w:t>
      </w:r>
      <w:r w:rsidR="00976DE3" w:rsidRPr="00976DE3">
        <w:t>Mrs. Carlson</w:t>
      </w:r>
    </w:p>
    <w:p w:rsidR="002748F5" w:rsidRPr="006B0992" w:rsidRDefault="006B0992">
      <w:pPr>
        <w:rPr>
          <w:b/>
        </w:rPr>
      </w:pPr>
      <w:proofErr w:type="gramStart"/>
      <w:r w:rsidRPr="006B0992">
        <w:rPr>
          <w:b/>
        </w:rPr>
        <w:t>Summary:</w:t>
      </w:r>
      <w:r w:rsidR="00976DE3">
        <w:rPr>
          <w:b/>
        </w:rPr>
        <w:t xml:space="preserve"> </w:t>
      </w:r>
      <w:r w:rsidR="00976DE3">
        <w:t>This unit uses two classic tragedies</w:t>
      </w:r>
      <w:proofErr w:type="gramEnd"/>
      <w:r w:rsidR="00976DE3">
        <w:t xml:space="preserve"> to address a new literary form for the grade level:  the drama.   </w:t>
      </w:r>
      <w:r w:rsidR="00976DE3" w:rsidRPr="00B166DD">
        <w:t xml:space="preserve">Students read </w:t>
      </w:r>
      <w:proofErr w:type="spellStart"/>
      <w:r w:rsidR="00976DE3" w:rsidRPr="00B166DD">
        <w:t>Antigone</w:t>
      </w:r>
      <w:proofErr w:type="spellEnd"/>
      <w:r w:rsidR="00976DE3" w:rsidRPr="00B166DD">
        <w:t xml:space="preserve"> or Oedipus the King, learning about the classic form of the Greek tragedy. Students examine Aristotle's Poetics and his definitions of comedy and tragedy to deepen their understanding of tragedy. They read Shakespeare's Romeo and Juliet and compare and contrast the ways in which the plays treat the related theme of fate versus free will. Building on the poetry unit, students also will consider Shakespeare's use of rhythm, punctuation, and imagery and the ways in which they help convey the motives, thoughts, and feelings of the characters. This unit will confirm students' shared understanding of the elements of drama, preparing them for the study of other dramatic works throughout high school.</w:t>
      </w:r>
    </w:p>
    <w:p w:rsidR="00017860" w:rsidRDefault="00017860"/>
    <w:p w:rsidR="00017860" w:rsidRDefault="00017860"/>
    <w:tbl>
      <w:tblPr>
        <w:tblStyle w:val="TableGrid"/>
        <w:tblW w:w="0" w:type="auto"/>
        <w:tblLook w:val="04A0"/>
      </w:tblPr>
      <w:tblGrid>
        <w:gridCol w:w="5958"/>
        <w:gridCol w:w="3780"/>
        <w:gridCol w:w="4500"/>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rsidTr="00976DE3">
        <w:tc>
          <w:tcPr>
            <w:tcW w:w="5958" w:type="dxa"/>
            <w:vMerge w:val="restart"/>
          </w:tcPr>
          <w:p w:rsidR="00017860" w:rsidRDefault="00017860">
            <w:pPr>
              <w:rPr>
                <w:b/>
              </w:rPr>
            </w:pPr>
            <w:r w:rsidRPr="00017860">
              <w:rPr>
                <w:b/>
              </w:rPr>
              <w:t>Established Goals</w:t>
            </w:r>
            <w:r w:rsidR="002748F5">
              <w:rPr>
                <w:b/>
              </w:rPr>
              <w:t xml:space="preserve"> (Standards)</w:t>
            </w:r>
          </w:p>
          <w:p w:rsidR="002748F5" w:rsidRDefault="002748F5">
            <w:pPr>
              <w:rPr>
                <w:b/>
              </w:rPr>
            </w:pPr>
          </w:p>
          <w:p w:rsidR="00976DE3" w:rsidRPr="00976DE3" w:rsidRDefault="00976DE3" w:rsidP="00976DE3">
            <w:pPr>
              <w:framePr w:hSpace="180" w:wrap="around" w:vAnchor="text" w:hAnchor="text" w:y="1"/>
              <w:suppressOverlap/>
              <w:rPr>
                <w:sz w:val="20"/>
              </w:rPr>
            </w:pPr>
            <w:r w:rsidRPr="00976DE3">
              <w:rPr>
                <w:b/>
                <w:sz w:val="20"/>
              </w:rPr>
              <w:t>RL.9–10.3</w:t>
            </w:r>
            <w:r w:rsidRPr="00976DE3">
              <w:rPr>
                <w:sz w:val="20"/>
              </w:rPr>
              <w:t xml:space="preserve">: Analyze how complex characters (e.g., those with multiple or conflicting motivations) develop over the course of a text, interact with other characters, and advance the plot or develop the theme. </w:t>
            </w:r>
          </w:p>
          <w:p w:rsidR="00976DE3" w:rsidRPr="00976DE3" w:rsidRDefault="00976DE3" w:rsidP="00976DE3">
            <w:pPr>
              <w:framePr w:hSpace="180" w:wrap="around" w:vAnchor="text" w:hAnchor="text" w:y="1"/>
              <w:suppressOverlap/>
              <w:rPr>
                <w:sz w:val="20"/>
              </w:rPr>
            </w:pPr>
            <w:r w:rsidRPr="00976DE3">
              <w:rPr>
                <w:b/>
                <w:sz w:val="20"/>
              </w:rPr>
              <w:t>RL.9–10.5:</w:t>
            </w:r>
            <w:r w:rsidRPr="00976DE3">
              <w:rPr>
                <w:sz w:val="20"/>
              </w:rPr>
              <w:t xml:space="preserve"> Analyze how an author's choices concerning how to structure a text, order events within it (e.g., parallel plots), and manipulate time (e.g., pacing, flashbacks) create such effects as mystery, tension, or surprise. </w:t>
            </w:r>
          </w:p>
          <w:p w:rsidR="00976DE3" w:rsidRPr="00976DE3" w:rsidRDefault="00976DE3" w:rsidP="00976DE3">
            <w:pPr>
              <w:framePr w:hSpace="180" w:wrap="around" w:vAnchor="text" w:hAnchor="text" w:y="1"/>
              <w:suppressOverlap/>
              <w:rPr>
                <w:sz w:val="20"/>
              </w:rPr>
            </w:pPr>
            <w:r w:rsidRPr="00976DE3">
              <w:rPr>
                <w:b/>
                <w:sz w:val="20"/>
              </w:rPr>
              <w:t>RL.9–10.9</w:t>
            </w:r>
            <w:r w:rsidRPr="00976DE3">
              <w:rPr>
                <w:sz w:val="20"/>
              </w:rPr>
              <w:t xml:space="preserve">: Analyze how an author draws on and transforms source material in a specific work (e.g., how Shakespeare treats a theme or topic from Ovid or the Bible or how a later author draws on a play by Shakespeare).  </w:t>
            </w:r>
          </w:p>
          <w:p w:rsidR="00976DE3" w:rsidRDefault="00976DE3" w:rsidP="00976DE3">
            <w:pPr>
              <w:framePr w:hSpace="180" w:wrap="around" w:vAnchor="text" w:hAnchor="text" w:y="1"/>
              <w:suppressOverlap/>
            </w:pPr>
            <w:r w:rsidRPr="00976DE3">
              <w:rPr>
                <w:b/>
                <w:sz w:val="20"/>
              </w:rPr>
              <w:t>RI.9–10.1:</w:t>
            </w:r>
            <w:r w:rsidRPr="00976DE3">
              <w:rPr>
                <w:sz w:val="20"/>
              </w:rPr>
              <w:t xml:space="preserve"> Cite strong and thorough textual evidence to support analysis of what the text says explicitly as well as inferences drawn from the text.</w:t>
            </w:r>
            <w:r w:rsidRPr="00B166DD">
              <w:t xml:space="preserve"> </w:t>
            </w:r>
          </w:p>
          <w:p w:rsidR="00976DE3" w:rsidRPr="00976DE3" w:rsidRDefault="00976DE3" w:rsidP="00976DE3">
            <w:pPr>
              <w:framePr w:hSpace="180" w:wrap="around" w:vAnchor="text" w:hAnchor="text" w:y="1"/>
              <w:suppressOverlap/>
              <w:rPr>
                <w:sz w:val="20"/>
              </w:rPr>
            </w:pPr>
            <w:r w:rsidRPr="00976DE3">
              <w:rPr>
                <w:b/>
                <w:sz w:val="20"/>
              </w:rPr>
              <w:t>W.9–10.2:</w:t>
            </w:r>
            <w:r w:rsidRPr="00976DE3">
              <w:rPr>
                <w:sz w:val="20"/>
              </w:rPr>
              <w:t xml:space="preserve"> Write informative/explanatory texts to examine and convey complex ideas, concepts, and information clearly and accurately through the effective selection, organization, and analysis of content. </w:t>
            </w:r>
          </w:p>
          <w:p w:rsidR="00976DE3" w:rsidRPr="00976DE3" w:rsidRDefault="00976DE3" w:rsidP="00976DE3">
            <w:pPr>
              <w:framePr w:hSpace="180" w:wrap="around" w:vAnchor="text" w:hAnchor="text" w:y="1"/>
              <w:suppressOverlap/>
              <w:rPr>
                <w:sz w:val="20"/>
              </w:rPr>
            </w:pPr>
            <w:r w:rsidRPr="00976DE3">
              <w:rPr>
                <w:b/>
                <w:sz w:val="20"/>
              </w:rPr>
              <w:t>SL.9–10.1:</w:t>
            </w:r>
            <w:r w:rsidRPr="00976DE3">
              <w:rPr>
                <w:sz w:val="20"/>
              </w:rPr>
              <w:t xml:space="preserve"> Initiate and participate effectively in a range of collaborative discussions (one-on-one, in groups, and teacher-led) with diverse partners on grades 9–10 topics, texts, and issues, building on others' ideas and expressing their own clearly and persuasively. </w:t>
            </w:r>
          </w:p>
          <w:p w:rsidR="00976DE3" w:rsidRPr="00976DE3" w:rsidRDefault="00976DE3" w:rsidP="00976DE3">
            <w:pPr>
              <w:framePr w:hSpace="180" w:wrap="around" w:vAnchor="text" w:hAnchor="text" w:y="1"/>
              <w:suppressOverlap/>
              <w:rPr>
                <w:sz w:val="20"/>
              </w:rPr>
            </w:pPr>
            <w:r w:rsidRPr="00976DE3">
              <w:rPr>
                <w:b/>
                <w:sz w:val="20"/>
              </w:rPr>
              <w:t>L.9–10.1:</w:t>
            </w:r>
            <w:r w:rsidRPr="00976DE3">
              <w:rPr>
                <w:sz w:val="20"/>
              </w:rPr>
              <w:t xml:space="preserve"> Demonstrate command of the conventions of Standard English grammar and usage when writing or speaking.   </w:t>
            </w:r>
          </w:p>
          <w:p w:rsidR="00017860" w:rsidRDefault="00976DE3" w:rsidP="00976DE3">
            <w:r w:rsidRPr="00976DE3">
              <w:rPr>
                <w:b/>
                <w:sz w:val="20"/>
              </w:rPr>
              <w:t>L.9–10.6</w:t>
            </w:r>
            <w:r w:rsidRPr="00976DE3">
              <w:rPr>
                <w:sz w:val="20"/>
              </w:rPr>
              <w:t>: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8280" w:type="dxa"/>
            <w:gridSpan w:val="2"/>
            <w:vAlign w:val="center"/>
          </w:tcPr>
          <w:p w:rsidR="00017860" w:rsidRPr="00017860" w:rsidRDefault="00017860" w:rsidP="00017860">
            <w:pPr>
              <w:jc w:val="center"/>
              <w:rPr>
                <w:b/>
              </w:rPr>
            </w:pPr>
            <w:r w:rsidRPr="00017860">
              <w:rPr>
                <w:b/>
              </w:rPr>
              <w:t>Transfer</w:t>
            </w:r>
          </w:p>
        </w:tc>
      </w:tr>
      <w:tr w:rsidR="00017860" w:rsidTr="00976DE3">
        <w:tc>
          <w:tcPr>
            <w:tcW w:w="5958" w:type="dxa"/>
            <w:vMerge/>
          </w:tcPr>
          <w:p w:rsidR="00017860" w:rsidRDefault="00017860"/>
        </w:tc>
        <w:tc>
          <w:tcPr>
            <w:tcW w:w="8280"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2748F5" w:rsidRDefault="002748F5"/>
          <w:p w:rsidR="00976DE3" w:rsidRDefault="00976DE3">
            <w:r>
              <w:t>Unit Objectives</w:t>
            </w:r>
          </w:p>
          <w:p w:rsidR="00976DE3" w:rsidRPr="00D16498" w:rsidRDefault="00976DE3" w:rsidP="00976DE3">
            <w:pPr>
              <w:pStyle w:val="ListParagraph"/>
              <w:numPr>
                <w:ilvl w:val="0"/>
                <w:numId w:val="2"/>
              </w:numPr>
              <w:rPr>
                <w:b/>
                <w:szCs w:val="22"/>
              </w:rPr>
            </w:pPr>
            <w:r w:rsidRPr="00D16498">
              <w:rPr>
                <w:rFonts w:eastAsia="Times New Roman" w:cs="Times New Roman"/>
                <w:szCs w:val="22"/>
              </w:rPr>
              <w:t>Identify and explain the elements of drama in general, and in Greek drama in particular (see Terminology section).</w:t>
            </w:r>
          </w:p>
          <w:p w:rsidR="00976DE3" w:rsidRPr="00D16498" w:rsidRDefault="00976DE3" w:rsidP="00976DE3">
            <w:pPr>
              <w:pStyle w:val="ListParagraph"/>
              <w:numPr>
                <w:ilvl w:val="0"/>
                <w:numId w:val="2"/>
              </w:numPr>
              <w:rPr>
                <w:b/>
                <w:szCs w:val="22"/>
              </w:rPr>
            </w:pPr>
            <w:r w:rsidRPr="00D16498">
              <w:rPr>
                <w:rFonts w:eastAsia="Times New Roman" w:cs="Times New Roman"/>
                <w:szCs w:val="22"/>
              </w:rPr>
              <w:t>Explain the structure of the plot(s) and describe the dramatic techniques the playwright uses to advance them.</w:t>
            </w:r>
          </w:p>
          <w:p w:rsidR="00976DE3" w:rsidRPr="00D16498" w:rsidRDefault="00976DE3" w:rsidP="00976DE3">
            <w:pPr>
              <w:pStyle w:val="ListParagraph"/>
              <w:numPr>
                <w:ilvl w:val="0"/>
                <w:numId w:val="2"/>
              </w:numPr>
              <w:rPr>
                <w:b/>
                <w:szCs w:val="22"/>
              </w:rPr>
            </w:pPr>
            <w:r w:rsidRPr="00D16498">
              <w:rPr>
                <w:rFonts w:eastAsia="Times New Roman" w:cs="Times New Roman"/>
                <w:szCs w:val="22"/>
              </w:rPr>
              <w:t>Trace the development of major and minor characters and explain how characterization advances the plot or theme.</w:t>
            </w:r>
          </w:p>
          <w:p w:rsidR="00976DE3" w:rsidRPr="00D16498" w:rsidRDefault="00976DE3" w:rsidP="00976DE3">
            <w:pPr>
              <w:pStyle w:val="ListParagraph"/>
              <w:numPr>
                <w:ilvl w:val="0"/>
                <w:numId w:val="2"/>
              </w:numPr>
              <w:rPr>
                <w:b/>
                <w:szCs w:val="22"/>
              </w:rPr>
            </w:pPr>
            <w:r w:rsidRPr="00D16498">
              <w:rPr>
                <w:rFonts w:eastAsia="Times New Roman" w:cs="Times New Roman"/>
                <w:szCs w:val="22"/>
              </w:rPr>
              <w:t xml:space="preserve">Understand Aristotle’s definitions of comedy and tragedy and explain how the other works studied exemplify the term </w:t>
            </w:r>
            <w:r w:rsidRPr="00D16498">
              <w:rPr>
                <w:rFonts w:eastAsia="Times New Roman" w:cs="Times New Roman"/>
                <w:i/>
                <w:iCs/>
                <w:szCs w:val="22"/>
              </w:rPr>
              <w:t>tragedy.</w:t>
            </w:r>
          </w:p>
          <w:p w:rsidR="00976DE3" w:rsidRPr="00D16498" w:rsidRDefault="00976DE3" w:rsidP="00976DE3">
            <w:pPr>
              <w:pStyle w:val="ListParagraph"/>
              <w:numPr>
                <w:ilvl w:val="0"/>
                <w:numId w:val="2"/>
              </w:numPr>
              <w:rPr>
                <w:b/>
                <w:szCs w:val="22"/>
              </w:rPr>
            </w:pPr>
            <w:r w:rsidRPr="00D16498">
              <w:rPr>
                <w:rFonts w:eastAsia="Times New Roman" w:cs="Times New Roman"/>
                <w:szCs w:val="22"/>
              </w:rPr>
              <w:t>Analyze the playwrights' use of irony.</w:t>
            </w:r>
          </w:p>
          <w:p w:rsidR="00976DE3" w:rsidRPr="00D16498" w:rsidRDefault="00976DE3" w:rsidP="00976DE3">
            <w:pPr>
              <w:pStyle w:val="ListParagraph"/>
              <w:numPr>
                <w:ilvl w:val="0"/>
                <w:numId w:val="2"/>
              </w:numPr>
              <w:rPr>
                <w:b/>
                <w:szCs w:val="22"/>
              </w:rPr>
            </w:pPr>
            <w:r w:rsidRPr="00D16498">
              <w:rPr>
                <w:rFonts w:eastAsia="Times New Roman" w:cs="Times New Roman"/>
                <w:szCs w:val="22"/>
              </w:rPr>
              <w:t xml:space="preserve">Identify the poetic devices used in </w:t>
            </w:r>
            <w:r w:rsidRPr="00D16498">
              <w:rPr>
                <w:rFonts w:eastAsia="Times New Roman" w:cs="Times New Roman"/>
                <w:i/>
                <w:iCs/>
                <w:szCs w:val="22"/>
              </w:rPr>
              <w:t>Romeo and Juliet</w:t>
            </w:r>
            <w:r w:rsidRPr="00D16498">
              <w:rPr>
                <w:rFonts w:eastAsia="Times New Roman" w:cs="Times New Roman"/>
                <w:szCs w:val="22"/>
              </w:rPr>
              <w:t xml:space="preserve"> and explain their effect.</w:t>
            </w:r>
          </w:p>
          <w:p w:rsidR="002748F5" w:rsidRDefault="002748F5"/>
          <w:p w:rsidR="002748F5" w:rsidRDefault="002748F5"/>
          <w:p w:rsidR="002748F5" w:rsidRDefault="002748F5"/>
          <w:p w:rsidR="002748F5" w:rsidRDefault="002748F5"/>
        </w:tc>
      </w:tr>
      <w:tr w:rsidR="00017860" w:rsidTr="00976DE3">
        <w:tc>
          <w:tcPr>
            <w:tcW w:w="5958" w:type="dxa"/>
            <w:vMerge/>
          </w:tcPr>
          <w:p w:rsidR="00017860" w:rsidRDefault="00017860"/>
        </w:tc>
        <w:tc>
          <w:tcPr>
            <w:tcW w:w="8280"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rsidTr="00976DE3">
        <w:tc>
          <w:tcPr>
            <w:tcW w:w="5958" w:type="dxa"/>
            <w:vMerge/>
          </w:tcPr>
          <w:p w:rsidR="00017860" w:rsidRDefault="00017860"/>
        </w:tc>
        <w:tc>
          <w:tcPr>
            <w:tcW w:w="3780"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666B7D" w:rsidRDefault="00666B7D"/>
          <w:p w:rsidR="00666B7D" w:rsidRDefault="00666B7D"/>
        </w:tc>
        <w:tc>
          <w:tcPr>
            <w:tcW w:w="4500" w:type="dxa"/>
          </w:tcPr>
          <w:p w:rsidR="00017860" w:rsidRPr="00017860" w:rsidRDefault="00017860">
            <w:pPr>
              <w:rPr>
                <w:b/>
              </w:rPr>
            </w:pPr>
            <w:r w:rsidRPr="00017860">
              <w:rPr>
                <w:b/>
              </w:rPr>
              <w:t>Essential Questions</w:t>
            </w:r>
          </w:p>
          <w:p w:rsidR="00976DE3" w:rsidRDefault="00017860">
            <w:r>
              <w:t>Students will keep considering…</w:t>
            </w:r>
          </w:p>
          <w:p w:rsidR="00017860" w:rsidRDefault="00976DE3" w:rsidP="00976DE3">
            <w:pPr>
              <w:pStyle w:val="ListParagraph"/>
              <w:numPr>
                <w:ilvl w:val="0"/>
                <w:numId w:val="3"/>
              </w:numPr>
            </w:pPr>
            <w:r>
              <w:t>Are we governed by fate or free will?</w:t>
            </w:r>
          </w:p>
          <w:p w:rsidR="00017860" w:rsidRDefault="00017860"/>
        </w:tc>
      </w:tr>
      <w:tr w:rsidR="00017860" w:rsidTr="00976DE3">
        <w:tc>
          <w:tcPr>
            <w:tcW w:w="5958" w:type="dxa"/>
            <w:vMerge/>
          </w:tcPr>
          <w:p w:rsidR="00017860" w:rsidRDefault="00017860"/>
        </w:tc>
        <w:tc>
          <w:tcPr>
            <w:tcW w:w="8280" w:type="dxa"/>
            <w:gridSpan w:val="2"/>
            <w:vAlign w:val="center"/>
          </w:tcPr>
          <w:p w:rsidR="00017860" w:rsidRPr="00017860" w:rsidRDefault="00017860" w:rsidP="00017860">
            <w:pPr>
              <w:jc w:val="center"/>
              <w:rPr>
                <w:b/>
              </w:rPr>
            </w:pPr>
            <w:r w:rsidRPr="00017860">
              <w:rPr>
                <w:b/>
              </w:rPr>
              <w:t>Acquisition of Knowledge and Skill</w:t>
            </w:r>
          </w:p>
        </w:tc>
      </w:tr>
      <w:tr w:rsidR="00017860" w:rsidTr="00976DE3">
        <w:tc>
          <w:tcPr>
            <w:tcW w:w="5958" w:type="dxa"/>
            <w:vMerge/>
          </w:tcPr>
          <w:p w:rsidR="00017860" w:rsidRDefault="00017860"/>
        </w:tc>
        <w:tc>
          <w:tcPr>
            <w:tcW w:w="3780"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4500"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EA1001F"/>
    <w:multiLevelType w:val="hybridMultilevel"/>
    <w:tmpl w:val="AB5EA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03027D"/>
    <w:multiLevelType w:val="hybridMultilevel"/>
    <w:tmpl w:val="5DC6D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F027FE"/>
    <w:multiLevelType w:val="hybridMultilevel"/>
    <w:tmpl w:val="D58E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3676CC"/>
    <w:rsid w:val="006039B9"/>
    <w:rsid w:val="00664CF4"/>
    <w:rsid w:val="00666B7D"/>
    <w:rsid w:val="006B0992"/>
    <w:rsid w:val="006F2A11"/>
    <w:rsid w:val="007C5DFB"/>
    <w:rsid w:val="00976DE3"/>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3283</Characters>
  <Application>Microsoft Word 12.1.0</Application>
  <DocSecurity>0</DocSecurity>
  <Lines>27</Lines>
  <Paragraphs>6</Paragraphs>
  <ScaleCrop>false</ScaleCrop>
  <Company>Buena Vista University</Company>
  <LinksUpToDate>false</LinksUpToDate>
  <CharactersWithSpaces>4031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2014-05-29T18:57:00Z</dcterms:created>
  <dcterms:modified xsi:type="dcterms:W3CDTF">2014-05-29T18:57:00Z</dcterms:modified>
</cp:coreProperties>
</file>